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ZOZ/ZO/8/07/2019 </w:t>
        <w:tab/>
        <w:tab/>
        <w:tab/>
        <w:tab/>
        <w:tab/>
        <w:tab/>
        <w:t>Załącznik nr 2 do Zapytania ofertowego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Parametry techniczne aparatu do biostymulacji laserowej w fizjoterapii.</w:t>
      </w:r>
    </w:p>
    <w:p>
      <w:pPr>
        <w:pStyle w:val="Normal"/>
        <w:rPr/>
      </w:pPr>
      <w:r>
        <w:rPr/>
      </w:r>
    </w:p>
    <w:tbl>
      <w:tblPr>
        <w:tblW w:w="964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4191"/>
        <w:gridCol w:w="2409"/>
        <w:gridCol w:w="2420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L. p.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Opis parametrów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Wymagane parametry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Uwagi</w:t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Rok produkcji 2019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Producent/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nazwa modelu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Aparat kompatybilny do współpracy z sondami punktowymi: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częstotliwość 1 -5000 Hz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I. Sonda punktowa 400 mW/808nm ( 400IRV2-40/P1/AP )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regulacja mocy 100,200,300,400 mW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dokładność regulacji mocy +/- 20% maksymalnej mocy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maksymalna gęstość energii 10 J/cm2 +/- 20%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praca ciągła i impulsowa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Laser półprzewodnikowy.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II. Sonda punktowa 40 mW/660nm ( 40 RDV2-04/N1/AP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regulacja mocy 10,20,30,40 mW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dokładność regulacji mocy +/- 20% maksymalnej mocy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maksymalna gęstość energii 10 J/cm2 +/- 20%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praca ciągła i impulsowa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Laser półprzewodnikowy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Aparat kompatybilny do współpracy z aplikatorem skanującym typ PM2-SK-400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660 nm(RD) 50 mW, 808 nm (IR) 400 mW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częstotliwość 1 -5000 Hz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regulacja mocy dla 808 nm, poziomy 50%, 100% mocy max.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regulacja mocy dla 660 nm, poziomy 50%, 100% mocy max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dokładność regulacji mocy +/- 20% maksymalnej mocy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maksymalna gęstość energii 10 J/cm2 +/- 20%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praca ciągła i impulsowa</w:t>
            </w:r>
          </w:p>
          <w:p>
            <w:pPr>
              <w:pStyle w:val="Zawartotabeli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max kąt regulacji wiązki 14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</w:p>
          <w:p>
            <w:pPr>
              <w:pStyle w:val="Zawartotabeli"/>
              <w:jc w:val="left"/>
              <w:rPr>
                <w:rFonts w:eastAsia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;Times New Roman"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Powierzchnia objęta zabiegiem aplikatora skanującego 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prostokąt liniowy 1 – 100 % w osiach X i Y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prostokąt równomierny 20 – 100 % w osiach X i Y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elipsa 2- 100% dla dwóch promieni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max powierzchnia pola roboczego dla ustawienia 100%, 100%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min powierzchnia pola roboczego – praca punktowa dla ustawienia 1 %, 1 %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Możliwość równoczesnej emisji promieniowania RD i IR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Możliwość tworzenia programów zabiegowych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Ilość programów zabiegowych 15 - 20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9 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Programy zabiegowe wbudowane PM-RD   min 20 dla aplikatorów laserowych punktowych, 25 – 30 dla aplikatorów laserowych punktowych PM-IR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 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Zegar zabiegowy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Zasilanie 230 V, 50 Hz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Stopień ochrony IP 20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Parametry EMC zgodnie z EN60601-1-2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Certyfikat CE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Wyposażenie: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kabel sieciowy z wyłącznikiem awaryjnym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wtyk łącznika zdalnej blokady DOOR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etykiety ostrzegawcze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instrukcja użytkownika- karta gwarancyjna min 24 m-ce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paszport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 deklaracja zgodności</w:t>
            </w:r>
          </w:p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- zapasowe bezpieczniki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Adres serwisu gwarancyjnego i pogwarancyjnego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Szkolenie personelu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Tak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snapToGrid w:val="false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LibreOffice/6.2.5.2$Windows_x86 LibreOffice_project/1ec314fa52f458adc18c4f025c545a4e8b22c159</Application>
  <Pages>2</Pages>
  <Words>364</Words>
  <Characters>1909</Characters>
  <CharactersWithSpaces>2203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2019-07-10T12:08:51Z</dcterms:created>
  <dc:creator/>
  <dc:description/>
  <dc:language>pl-PL</dc:language>
  <cp:lastModifiedBy/>
  <cp:lastPrinted>2019-07-10T12:10:40Z</cp:lastPrinted>
  <dcterms:modified xsi:type="dcterms:W3CDTF">2019-07-10T12:11:56Z</dcterms:modified>
  <cp:revision>7</cp:revision>
  <dc:subject/>
  <dc:title/>
</cp:coreProperties>
</file>